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80064" w14:textId="77777777" w:rsidR="000C2357" w:rsidRDefault="000C2357">
      <w:pPr>
        <w:pStyle w:val="BodyText"/>
        <w:spacing w:before="2"/>
        <w:rPr>
          <w:rFonts w:ascii="Times New Roman"/>
          <w:sz w:val="14"/>
        </w:rPr>
      </w:pPr>
    </w:p>
    <w:tbl>
      <w:tblPr>
        <w:tblW w:w="942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6431"/>
      </w:tblGrid>
      <w:tr w:rsidR="000C2357" w14:paraId="2240193B" w14:textId="77777777" w:rsidTr="0067255E">
        <w:trPr>
          <w:trHeight w:val="881"/>
        </w:trPr>
        <w:tc>
          <w:tcPr>
            <w:tcW w:w="2992" w:type="dxa"/>
          </w:tcPr>
          <w:p w14:paraId="67A1ACA6" w14:textId="77777777" w:rsidR="000C2357" w:rsidRDefault="004C4A17">
            <w:pPr>
              <w:pStyle w:val="TableParagraph"/>
              <w:spacing w:before="0" w:line="247" w:lineRule="exact"/>
            </w:pPr>
            <w:r>
              <w:t>SUMMARY</w:t>
            </w:r>
          </w:p>
        </w:tc>
        <w:tc>
          <w:tcPr>
            <w:tcW w:w="6431" w:type="dxa"/>
          </w:tcPr>
          <w:p w14:paraId="406949C6" w14:textId="77777777" w:rsidR="000C2357" w:rsidRDefault="004C4A17">
            <w:pPr>
              <w:pStyle w:val="TableParagraph"/>
              <w:spacing w:before="0"/>
              <w:ind w:left="467" w:right="201"/>
              <w:jc w:val="both"/>
            </w:pPr>
            <w:r>
              <w:t xml:space="preserve">This document describes the policies and procedures for acceptance of gifts of library and non-library </w:t>
            </w:r>
            <w:proofErr w:type="gramStart"/>
            <w:r>
              <w:t>materials</w:t>
            </w:r>
            <w:proofErr w:type="gramEnd"/>
            <w:r>
              <w:t xml:space="preserve"> or funds designated for the purchase of library materials.</w:t>
            </w:r>
          </w:p>
        </w:tc>
      </w:tr>
      <w:tr w:rsidR="000C2357" w14:paraId="22BED095" w14:textId="77777777" w:rsidTr="0067255E">
        <w:trPr>
          <w:trHeight w:val="504"/>
        </w:trPr>
        <w:tc>
          <w:tcPr>
            <w:tcW w:w="2992" w:type="dxa"/>
          </w:tcPr>
          <w:p w14:paraId="1014C048" w14:textId="77777777" w:rsidR="000C2357" w:rsidRDefault="004C4A17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6431" w:type="dxa"/>
          </w:tcPr>
          <w:p w14:paraId="07214774" w14:textId="77777777" w:rsidR="000C2357" w:rsidRPr="007C7A08" w:rsidRDefault="004C4A17">
            <w:pPr>
              <w:pStyle w:val="TableParagraph"/>
              <w:spacing w:before="122"/>
              <w:ind w:left="467"/>
              <w:rPr>
                <w:bCs/>
              </w:rPr>
            </w:pPr>
            <w:r w:rsidRPr="007C7A08">
              <w:rPr>
                <w:bCs/>
              </w:rPr>
              <w:t>July 12, 2012</w:t>
            </w:r>
          </w:p>
        </w:tc>
      </w:tr>
      <w:tr w:rsidR="000C2357" w14:paraId="6BD2034B" w14:textId="77777777" w:rsidTr="0067255E">
        <w:trPr>
          <w:trHeight w:val="507"/>
        </w:trPr>
        <w:tc>
          <w:tcPr>
            <w:tcW w:w="2992" w:type="dxa"/>
          </w:tcPr>
          <w:p w14:paraId="0D54BAC0" w14:textId="77777777" w:rsidR="000C2357" w:rsidRDefault="004C4A17" w:rsidP="007C7A08">
            <w:pPr>
              <w:pStyle w:val="TableParagraph"/>
              <w:spacing w:before="0" w:line="360" w:lineRule="auto"/>
            </w:pPr>
            <w:r>
              <w:t>Reviewed:</w:t>
            </w:r>
          </w:p>
        </w:tc>
        <w:tc>
          <w:tcPr>
            <w:tcW w:w="6431" w:type="dxa"/>
          </w:tcPr>
          <w:p w14:paraId="3B026A8A" w14:textId="77777777" w:rsidR="000C2357" w:rsidRDefault="004C4A17" w:rsidP="00CE7821">
            <w:pPr>
              <w:pStyle w:val="TableParagraph"/>
              <w:spacing w:before="0"/>
              <w:ind w:left="461"/>
              <w:rPr>
                <w:bCs/>
              </w:rPr>
            </w:pPr>
            <w:r w:rsidRPr="007C7A08">
              <w:rPr>
                <w:bCs/>
              </w:rPr>
              <w:t>October 4, 2017</w:t>
            </w:r>
          </w:p>
          <w:p w14:paraId="068D0A55" w14:textId="7B410A53" w:rsidR="007C7A08" w:rsidRPr="007C7A08" w:rsidRDefault="007C7A08" w:rsidP="007C7A08">
            <w:pPr>
              <w:pStyle w:val="TableParagraph"/>
              <w:spacing w:before="0" w:line="360" w:lineRule="auto"/>
              <w:ind w:left="467"/>
              <w:rPr>
                <w:bCs/>
              </w:rPr>
            </w:pPr>
            <w:r>
              <w:rPr>
                <w:bCs/>
              </w:rPr>
              <w:t>October 27, 2021</w:t>
            </w:r>
          </w:p>
        </w:tc>
      </w:tr>
      <w:tr w:rsidR="000C2357" w14:paraId="5DB79691" w14:textId="77777777" w:rsidTr="0067255E">
        <w:trPr>
          <w:trHeight w:val="1138"/>
        </w:trPr>
        <w:tc>
          <w:tcPr>
            <w:tcW w:w="2992" w:type="dxa"/>
          </w:tcPr>
          <w:p w14:paraId="72D538B9" w14:textId="77777777" w:rsidR="000C2357" w:rsidRDefault="004C4A17">
            <w:pPr>
              <w:pStyle w:val="TableParagraph"/>
              <w:ind w:right="449"/>
            </w:pPr>
            <w:r>
              <w:t>RECEIPT OF LIBRARY MATERIALS</w:t>
            </w:r>
          </w:p>
        </w:tc>
        <w:tc>
          <w:tcPr>
            <w:tcW w:w="6431" w:type="dxa"/>
          </w:tcPr>
          <w:p w14:paraId="78EE015F" w14:textId="3D316965" w:rsidR="000C2357" w:rsidRDefault="004C4A17">
            <w:pPr>
              <w:pStyle w:val="TableParagraph"/>
              <w:ind w:left="467" w:right="201"/>
              <w:jc w:val="both"/>
            </w:pPr>
            <w:r>
              <w:t xml:space="preserve">a. General donations of materials </w:t>
            </w:r>
            <w:r w:rsidR="00AC3631">
              <w:t xml:space="preserve">will </w:t>
            </w:r>
            <w:r>
              <w:t>be made the property of the Friends of the</w:t>
            </w:r>
            <w:r w:rsidR="00634968">
              <w:t xml:space="preserve"> Johnson County</w:t>
            </w:r>
            <w:r>
              <w:t xml:space="preserve"> Library under the Memorandum of Understanding with that organization.</w:t>
            </w:r>
          </w:p>
        </w:tc>
      </w:tr>
      <w:tr w:rsidR="000C2357" w14:paraId="0C7384B9" w14:textId="77777777" w:rsidTr="0067255E">
        <w:trPr>
          <w:trHeight w:val="1390"/>
        </w:trPr>
        <w:tc>
          <w:tcPr>
            <w:tcW w:w="2992" w:type="dxa"/>
          </w:tcPr>
          <w:p w14:paraId="671818A8" w14:textId="77777777" w:rsidR="000C2357" w:rsidRDefault="000C2357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2276D906" w14:textId="77777777" w:rsidR="000C2357" w:rsidRDefault="004C4A17">
            <w:pPr>
              <w:pStyle w:val="TableParagraph"/>
              <w:spacing w:before="1"/>
            </w:pPr>
            <w:r>
              <w:t>RECEIPT OF FUNDS</w:t>
            </w:r>
          </w:p>
        </w:tc>
        <w:tc>
          <w:tcPr>
            <w:tcW w:w="6431" w:type="dxa"/>
          </w:tcPr>
          <w:p w14:paraId="4470758D" w14:textId="77777777" w:rsidR="000C2357" w:rsidRDefault="000C2357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295A68CF" w14:textId="77777777" w:rsidR="000C2357" w:rsidRDefault="004C4A17">
            <w:pPr>
              <w:pStyle w:val="TableParagraph"/>
              <w:spacing w:before="1"/>
              <w:ind w:left="467" w:right="198"/>
              <w:jc w:val="both"/>
            </w:pPr>
            <w:r>
              <w:t>b.</w:t>
            </w:r>
            <w:r>
              <w:rPr>
                <w:spacing w:val="-14"/>
              </w:rPr>
              <w:t xml:space="preserve"> </w:t>
            </w:r>
            <w:r>
              <w:t>All</w:t>
            </w:r>
            <w:r>
              <w:rPr>
                <w:spacing w:val="-16"/>
              </w:rPr>
              <w:t xml:space="preserve"> </w:t>
            </w:r>
            <w:r>
              <w:t>donations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gifts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funds</w:t>
            </w:r>
            <w:r>
              <w:rPr>
                <w:spacing w:val="-15"/>
              </w:rPr>
              <w:t xml:space="preserve"> </w:t>
            </w:r>
            <w:r>
              <w:t>may</w:t>
            </w:r>
            <w:r>
              <w:rPr>
                <w:spacing w:val="-17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directed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Johnson</w:t>
            </w:r>
            <w:r>
              <w:rPr>
                <w:spacing w:val="-14"/>
              </w:rPr>
              <w:t xml:space="preserve"> </w:t>
            </w:r>
            <w:r>
              <w:t>County Library Foundation in accordance with the Memorandum of Understanding established between the Johnson County Library and the</w:t>
            </w:r>
            <w:r>
              <w:rPr>
                <w:spacing w:val="-1"/>
              </w:rPr>
              <w:t xml:space="preserve"> </w:t>
            </w:r>
            <w:r>
              <w:t>Foundation.</w:t>
            </w:r>
          </w:p>
        </w:tc>
      </w:tr>
      <w:tr w:rsidR="000C2357" w14:paraId="2DA5D1EE" w14:textId="77777777" w:rsidTr="0067255E">
        <w:trPr>
          <w:trHeight w:val="1264"/>
        </w:trPr>
        <w:tc>
          <w:tcPr>
            <w:tcW w:w="2992" w:type="dxa"/>
          </w:tcPr>
          <w:p w14:paraId="46B77789" w14:textId="77777777" w:rsidR="000C2357" w:rsidRDefault="004C4A17">
            <w:pPr>
              <w:pStyle w:val="TableParagraph"/>
            </w:pPr>
            <w:r>
              <w:t>OTHER GIFTS</w:t>
            </w:r>
          </w:p>
        </w:tc>
        <w:tc>
          <w:tcPr>
            <w:tcW w:w="6431" w:type="dxa"/>
          </w:tcPr>
          <w:p w14:paraId="0771A3CE" w14:textId="2BA52607" w:rsidR="000C2357" w:rsidRDefault="004C4A17" w:rsidP="00EC5733">
            <w:pPr>
              <w:pStyle w:val="TableParagraph"/>
              <w:ind w:left="467" w:right="201"/>
              <w:jc w:val="both"/>
            </w:pPr>
            <w:r>
              <w:t xml:space="preserve">c. Donations or gifts that are not library material or funds may be directed to the Johnson County Library </w:t>
            </w:r>
            <w:r w:rsidR="00EC5733">
              <w:t>F</w:t>
            </w:r>
            <w:r>
              <w:t>oundation in accordance with the Memorandum of Understanding established between the Johnson County Library and the Foundation.</w:t>
            </w:r>
          </w:p>
        </w:tc>
      </w:tr>
      <w:tr w:rsidR="000C2357" w14:paraId="67E8B17B" w14:textId="77777777" w:rsidTr="0067255E">
        <w:trPr>
          <w:trHeight w:val="1519"/>
        </w:trPr>
        <w:tc>
          <w:tcPr>
            <w:tcW w:w="2992" w:type="dxa"/>
          </w:tcPr>
          <w:p w14:paraId="4D7364DD" w14:textId="77777777" w:rsidR="000C2357" w:rsidRDefault="004C4A17">
            <w:pPr>
              <w:pStyle w:val="TableParagraph"/>
            </w:pPr>
            <w:r>
              <w:t>CONDITIONAL GIFTS</w:t>
            </w:r>
          </w:p>
        </w:tc>
        <w:tc>
          <w:tcPr>
            <w:tcW w:w="6431" w:type="dxa"/>
          </w:tcPr>
          <w:p w14:paraId="5EF13E1C" w14:textId="77777777" w:rsidR="000C2357" w:rsidRDefault="004C4A17" w:rsidP="00CE7821">
            <w:pPr>
              <w:pStyle w:val="TableParagraph"/>
              <w:ind w:left="466" w:right="201"/>
              <w:jc w:val="both"/>
            </w:pPr>
            <w:r>
              <w:t>d.</w:t>
            </w:r>
            <w:r>
              <w:rPr>
                <w:spacing w:val="-15"/>
              </w:rPr>
              <w:t xml:space="preserve"> </w:t>
            </w:r>
            <w:r>
              <w:t>Only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Library</w:t>
            </w:r>
            <w:r>
              <w:rPr>
                <w:spacing w:val="-15"/>
              </w:rPr>
              <w:t xml:space="preserve"> </w:t>
            </w:r>
            <w:r>
              <w:t>Board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Directors</w:t>
            </w:r>
            <w:r>
              <w:rPr>
                <w:spacing w:val="-17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accept</w:t>
            </w:r>
            <w:r>
              <w:rPr>
                <w:spacing w:val="-17"/>
              </w:rPr>
              <w:t xml:space="preserve"> </w:t>
            </w:r>
            <w:r>
              <w:t>gifts</w:t>
            </w:r>
            <w:r>
              <w:rPr>
                <w:spacing w:val="-12"/>
              </w:rPr>
              <w:t xml:space="preserve"> </w:t>
            </w:r>
            <w:r>
              <w:t>when</w:t>
            </w:r>
            <w:r>
              <w:rPr>
                <w:spacing w:val="-14"/>
              </w:rPr>
              <w:t xml:space="preserve"> </w:t>
            </w:r>
            <w:r>
              <w:t>conditions are attached to the deed of the gift. Requests for acceptance of these gifts must be accompanied by a statement of the relevancy of the gift to the Library’s mission, strategic plan and Collection Development Policy.</w:t>
            </w:r>
          </w:p>
        </w:tc>
      </w:tr>
      <w:tr w:rsidR="000C2357" w14:paraId="757702D1" w14:textId="77777777" w:rsidTr="0067255E">
        <w:trPr>
          <w:trHeight w:val="884"/>
        </w:trPr>
        <w:tc>
          <w:tcPr>
            <w:tcW w:w="2992" w:type="dxa"/>
          </w:tcPr>
          <w:p w14:paraId="64ED9871" w14:textId="77777777" w:rsidR="000C2357" w:rsidRDefault="004C4A17">
            <w:pPr>
              <w:pStyle w:val="TableParagraph"/>
              <w:ind w:right="694"/>
            </w:pPr>
            <w:r>
              <w:t>PROCEDURES FOR RECEIPT</w:t>
            </w:r>
          </w:p>
        </w:tc>
        <w:tc>
          <w:tcPr>
            <w:tcW w:w="6431" w:type="dxa"/>
          </w:tcPr>
          <w:p w14:paraId="09FE2250" w14:textId="77777777" w:rsidR="000C2357" w:rsidRDefault="004C4A17" w:rsidP="00CE7821">
            <w:pPr>
              <w:pStyle w:val="TableParagraph"/>
              <w:ind w:left="467" w:right="17"/>
              <w:jc w:val="both"/>
            </w:pPr>
            <w:r>
              <w:t>e. The County Librarian will establish procedures for the approval of gifts for library and non-library materials.</w:t>
            </w:r>
          </w:p>
        </w:tc>
      </w:tr>
      <w:tr w:rsidR="000C2357" w14:paraId="534EC720" w14:textId="77777777" w:rsidTr="0067255E">
        <w:trPr>
          <w:trHeight w:val="1263"/>
        </w:trPr>
        <w:tc>
          <w:tcPr>
            <w:tcW w:w="2992" w:type="dxa"/>
          </w:tcPr>
          <w:p w14:paraId="71B40F1F" w14:textId="77777777" w:rsidR="000C2357" w:rsidRDefault="000C2357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23B51A90" w14:textId="77777777" w:rsidR="000C2357" w:rsidRDefault="004C4A17">
            <w:pPr>
              <w:pStyle w:val="TableParagraph"/>
              <w:spacing w:before="1"/>
            </w:pPr>
            <w:r>
              <w:t>GIFTS AS DISCARDS</w:t>
            </w:r>
          </w:p>
        </w:tc>
        <w:tc>
          <w:tcPr>
            <w:tcW w:w="6431" w:type="dxa"/>
          </w:tcPr>
          <w:p w14:paraId="75C8DB5A" w14:textId="77777777" w:rsidR="000C2357" w:rsidRDefault="000C2357" w:rsidP="00CE7821">
            <w:pPr>
              <w:pStyle w:val="TableParagraph"/>
              <w:spacing w:before="7"/>
              <w:ind w:left="0"/>
              <w:jc w:val="both"/>
              <w:rPr>
                <w:rFonts w:ascii="Times New Roman"/>
                <w:sz w:val="21"/>
              </w:rPr>
            </w:pPr>
          </w:p>
          <w:p w14:paraId="0C87DDA5" w14:textId="54C9562E" w:rsidR="000C2357" w:rsidRDefault="004C4A17" w:rsidP="00CE7821">
            <w:pPr>
              <w:pStyle w:val="TableParagraph"/>
              <w:spacing w:before="1"/>
              <w:ind w:left="467" w:right="200"/>
              <w:jc w:val="both"/>
            </w:pPr>
            <w:r>
              <w:t>f. Gifts to the Johnson County Library and Friends of the Johnson County Library Book Sale may be disposed of according to the regulations regarding Surplus Property (ARM 50-20-50) and</w:t>
            </w:r>
            <w:r>
              <w:rPr>
                <w:spacing w:val="11"/>
              </w:rPr>
              <w:t xml:space="preserve"> </w:t>
            </w:r>
            <w:r>
              <w:t>the</w:t>
            </w:r>
            <w:r w:rsidR="00CE7821">
              <w:t xml:space="preserve"> </w:t>
            </w:r>
            <w:r>
              <w:t>Friends of the Johnson County Library Book Sale (ARM</w:t>
            </w:r>
            <w:r>
              <w:rPr>
                <w:spacing w:val="17"/>
              </w:rPr>
              <w:t xml:space="preserve"> </w:t>
            </w:r>
            <w:r>
              <w:t>50-20-55)</w:t>
            </w:r>
            <w:r w:rsidR="00CE7821">
              <w:t xml:space="preserve"> </w:t>
            </w:r>
            <w:r w:rsidR="00CE7821">
              <w:t>unless provision is made at the time the gift is given. Library materials not selected for inclusion in the library collection will be considered as discarded materials and surplus property</w:t>
            </w:r>
            <w:r w:rsidR="00CE7821">
              <w:t>.</w:t>
            </w:r>
          </w:p>
        </w:tc>
      </w:tr>
    </w:tbl>
    <w:p w14:paraId="1039FBB5" w14:textId="77777777" w:rsidR="000C2357" w:rsidRDefault="000C2357">
      <w:pPr>
        <w:spacing w:line="233" w:lineRule="exact"/>
        <w:jc w:val="both"/>
        <w:sectPr w:rsidR="000C2357" w:rsidSect="008B088A">
          <w:headerReference w:type="default" r:id="rId6"/>
          <w:headerReference w:type="first" r:id="rId7"/>
          <w:type w:val="continuous"/>
          <w:pgSz w:w="12240" w:h="15840"/>
          <w:pgMar w:top="4080" w:right="1440" w:bottom="280" w:left="1440" w:header="720" w:footer="720" w:gutter="0"/>
          <w:cols w:space="720"/>
          <w:titlePg/>
          <w:docGrid w:linePitch="299"/>
        </w:sectPr>
      </w:pPr>
    </w:p>
    <w:p w14:paraId="03642B25" w14:textId="77777777" w:rsidR="000C2357" w:rsidRDefault="000C2357">
      <w:pPr>
        <w:pStyle w:val="BodyText"/>
        <w:spacing w:before="7"/>
      </w:pPr>
    </w:p>
    <w:tbl>
      <w:tblPr>
        <w:tblW w:w="933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6683"/>
      </w:tblGrid>
      <w:tr w:rsidR="000C2357" w14:paraId="4E2D0CF0" w14:textId="77777777" w:rsidTr="00CE7821">
        <w:trPr>
          <w:trHeight w:val="99"/>
        </w:trPr>
        <w:tc>
          <w:tcPr>
            <w:tcW w:w="2650" w:type="dxa"/>
          </w:tcPr>
          <w:p w14:paraId="34D7CB09" w14:textId="77777777" w:rsidR="000C2357" w:rsidRDefault="004C4A17">
            <w:pPr>
              <w:pStyle w:val="TableParagraph"/>
              <w:spacing w:before="0" w:line="247" w:lineRule="exact"/>
            </w:pPr>
            <w:r>
              <w:t>LIABILITY</w:t>
            </w:r>
          </w:p>
        </w:tc>
        <w:tc>
          <w:tcPr>
            <w:tcW w:w="6683" w:type="dxa"/>
          </w:tcPr>
          <w:p w14:paraId="5594F2A2" w14:textId="77777777" w:rsidR="000C2357" w:rsidRDefault="004C4A17" w:rsidP="00CE7821">
            <w:pPr>
              <w:pStyle w:val="TableParagraph"/>
              <w:spacing w:before="0"/>
              <w:ind w:left="809"/>
              <w:jc w:val="both"/>
            </w:pPr>
            <w:r>
              <w:t xml:space="preserve">g. The Johnson County Library will make reasonable effort to secure gifts against </w:t>
            </w:r>
            <w:proofErr w:type="gramStart"/>
            <w:r>
              <w:t>theft, but</w:t>
            </w:r>
            <w:proofErr w:type="gramEnd"/>
            <w:r>
              <w:t xml:space="preserve"> accepts no liability should it occur.</w:t>
            </w:r>
          </w:p>
        </w:tc>
      </w:tr>
      <w:tr w:rsidR="000C2357" w14:paraId="0C3D1F25" w14:textId="77777777" w:rsidTr="00CE7821">
        <w:trPr>
          <w:trHeight w:val="375"/>
        </w:trPr>
        <w:tc>
          <w:tcPr>
            <w:tcW w:w="2650" w:type="dxa"/>
          </w:tcPr>
          <w:p w14:paraId="31563618" w14:textId="23A62314" w:rsidR="000C2357" w:rsidRDefault="004C4A17">
            <w:pPr>
              <w:pStyle w:val="TableParagraph"/>
              <w:spacing w:before="122" w:line="233" w:lineRule="exact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7C7A08">
              <w:rPr>
                <w:b/>
              </w:rPr>
              <w:t>27</w:t>
            </w:r>
            <w:r>
              <w:rPr>
                <w:b/>
              </w:rPr>
              <w:t>, 20</w:t>
            </w:r>
            <w:r w:rsidR="007C7A08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6683" w:type="dxa"/>
          </w:tcPr>
          <w:p w14:paraId="53660791" w14:textId="3F24B349" w:rsidR="000C2357" w:rsidRDefault="004C4A17" w:rsidP="007C7A08">
            <w:pPr>
              <w:pStyle w:val="TableParagraph"/>
              <w:spacing w:before="122" w:line="233" w:lineRule="exact"/>
              <w:ind w:left="809"/>
              <w:jc w:val="right"/>
              <w:rPr>
                <w:b/>
              </w:rPr>
            </w:pPr>
            <w:r>
              <w:rPr>
                <w:b/>
              </w:rPr>
              <w:t>ARM 30-20-50</w:t>
            </w:r>
            <w:r w:rsidR="007C7A08">
              <w:rPr>
                <w:b/>
              </w:rPr>
              <w:t xml:space="preserve">   End</w:t>
            </w:r>
          </w:p>
        </w:tc>
      </w:tr>
    </w:tbl>
    <w:p w14:paraId="1FE07D46" w14:textId="77777777" w:rsidR="00231AFC" w:rsidRDefault="00231AFC"/>
    <w:sectPr w:rsidR="00231AFC" w:rsidSect="008B088A">
      <w:pgSz w:w="12240" w:h="15840"/>
      <w:pgMar w:top="990" w:right="1440" w:bottom="28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168D" w14:textId="77777777" w:rsidR="00231AFC" w:rsidRDefault="004C4A17">
      <w:r>
        <w:separator/>
      </w:r>
    </w:p>
  </w:endnote>
  <w:endnote w:type="continuationSeparator" w:id="0">
    <w:p w14:paraId="7E38E9E1" w14:textId="77777777" w:rsidR="00231AFC" w:rsidRDefault="004C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35F7" w14:textId="77777777" w:rsidR="00231AFC" w:rsidRDefault="004C4A17">
      <w:r>
        <w:separator/>
      </w:r>
    </w:p>
  </w:footnote>
  <w:footnote w:type="continuationSeparator" w:id="0">
    <w:p w14:paraId="61AE9ECE" w14:textId="77777777" w:rsidR="00231AFC" w:rsidRDefault="004C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C122" w14:textId="665AB908" w:rsidR="008B088A" w:rsidRDefault="008B0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301A" w14:textId="375F1E5D" w:rsidR="008B088A" w:rsidRDefault="008B088A" w:rsidP="008B088A">
    <w:pPr>
      <w:ind w:left="103"/>
      <w:rPr>
        <w:rFonts w:ascii="Times New Roman" w:eastAsia="Times New Roman" w:hAnsi="Times New Roman" w:cs="Times New Roman"/>
        <w:sz w:val="20"/>
        <w:szCs w:val="20"/>
        <w:lang w:bidi="ar-SA"/>
      </w:rPr>
    </w:pPr>
    <w:r>
      <w:rPr>
        <w:noProof/>
      </w:rPr>
      <w:drawing>
        <wp:inline distT="0" distB="0" distL="0" distR="0" wp14:anchorId="7328636D" wp14:editId="03B44F9E">
          <wp:extent cx="2781935" cy="920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137AD" w14:textId="77777777" w:rsidR="008B088A" w:rsidRDefault="008B088A" w:rsidP="008B088A">
    <w:pPr>
      <w:pStyle w:val="Heading1"/>
      <w:spacing w:before="72"/>
      <w:rPr>
        <w:color w:val="3E3E3E"/>
      </w:rPr>
    </w:pPr>
    <w:r>
      <w:rPr>
        <w:color w:val="3E3E3E"/>
        <w:spacing w:val="-6"/>
      </w:rPr>
      <w:t>A</w:t>
    </w:r>
    <w:r>
      <w:rPr>
        <w:color w:val="3E3E3E"/>
        <w:spacing w:val="1"/>
      </w:rPr>
      <w:t>D</w:t>
    </w:r>
    <w:r>
      <w:rPr>
        <w:color w:val="3E3E3E"/>
      </w:rPr>
      <w:t>M</w:t>
    </w:r>
    <w:r>
      <w:rPr>
        <w:color w:val="3E3E3E"/>
        <w:spacing w:val="1"/>
      </w:rPr>
      <w:t>I</w:t>
    </w:r>
    <w:r>
      <w:rPr>
        <w:color w:val="3E3E3E"/>
        <w:spacing w:val="-1"/>
      </w:rPr>
      <w:t>N</w:t>
    </w:r>
    <w:r>
      <w:rPr>
        <w:color w:val="3E3E3E"/>
        <w:spacing w:val="1"/>
      </w:rPr>
      <w:t>I</w:t>
    </w:r>
    <w:r>
      <w:rPr>
        <w:color w:val="3E3E3E"/>
        <w:spacing w:val="-1"/>
      </w:rPr>
      <w:t>S</w:t>
    </w:r>
    <w:r>
      <w:rPr>
        <w:color w:val="3E3E3E"/>
        <w:spacing w:val="-3"/>
      </w:rPr>
      <w:t>T</w:t>
    </w:r>
    <w:r>
      <w:rPr>
        <w:color w:val="3E3E3E"/>
        <w:spacing w:val="3"/>
      </w:rPr>
      <w:t>R</w:t>
    </w:r>
    <w:r>
      <w:rPr>
        <w:color w:val="3E3E3E"/>
        <w:spacing w:val="-6"/>
      </w:rPr>
      <w:t>A</w:t>
    </w:r>
    <w:r>
      <w:rPr>
        <w:color w:val="3E3E3E"/>
        <w:spacing w:val="-1"/>
      </w:rPr>
      <w:t>T</w:t>
    </w:r>
    <w:r>
      <w:rPr>
        <w:color w:val="3E3E3E"/>
        <w:spacing w:val="1"/>
      </w:rPr>
      <w:t>I</w:t>
    </w:r>
    <w:r>
      <w:rPr>
        <w:color w:val="3E3E3E"/>
        <w:spacing w:val="-1"/>
      </w:rPr>
      <w:t>V</w:t>
    </w:r>
    <w:r>
      <w:rPr>
        <w:color w:val="3E3E3E"/>
      </w:rPr>
      <w:t xml:space="preserve">E </w:t>
    </w:r>
    <w:r>
      <w:rPr>
        <w:color w:val="3E3E3E"/>
        <w:spacing w:val="-2"/>
      </w:rPr>
      <w:t>R</w:t>
    </w:r>
    <w:r>
      <w:rPr>
        <w:color w:val="3E3E3E"/>
        <w:spacing w:val="-1"/>
      </w:rPr>
      <w:t>E</w:t>
    </w:r>
    <w:r>
      <w:rPr>
        <w:color w:val="3E3E3E"/>
        <w:spacing w:val="1"/>
      </w:rPr>
      <w:t>G</w:t>
    </w:r>
    <w:r>
      <w:rPr>
        <w:color w:val="3E3E3E"/>
        <w:spacing w:val="-1"/>
      </w:rPr>
      <w:t>U</w:t>
    </w:r>
    <w:r>
      <w:rPr>
        <w:color w:val="3E3E3E"/>
        <w:spacing w:val="1"/>
      </w:rPr>
      <w:t>L</w:t>
    </w:r>
    <w:r>
      <w:rPr>
        <w:color w:val="3E3E3E"/>
        <w:spacing w:val="-6"/>
      </w:rPr>
      <w:t>A</w:t>
    </w:r>
    <w:r>
      <w:rPr>
        <w:color w:val="3E3E3E"/>
        <w:spacing w:val="-1"/>
      </w:rPr>
      <w:t>T</w:t>
    </w:r>
    <w:r>
      <w:rPr>
        <w:color w:val="3E3E3E"/>
        <w:spacing w:val="1"/>
      </w:rPr>
      <w:t>IO</w:t>
    </w:r>
    <w:r>
      <w:rPr>
        <w:color w:val="3E3E3E"/>
        <w:spacing w:val="-1"/>
      </w:rPr>
      <w:t>N</w:t>
    </w:r>
    <w:r>
      <w:rPr>
        <w:color w:val="3E3E3E"/>
      </w:rPr>
      <w:t>S</w:t>
    </w:r>
  </w:p>
  <w:p w14:paraId="37F1C6C8" w14:textId="77777777" w:rsidR="008B088A" w:rsidRDefault="008B088A" w:rsidP="008B088A">
    <w:pPr>
      <w:pStyle w:val="Heading1"/>
      <w:spacing w:before="72"/>
      <w:rPr>
        <w:b w:val="0"/>
        <w:bCs w:val="0"/>
      </w:rPr>
    </w:pPr>
  </w:p>
  <w:p w14:paraId="5163C5D0" w14:textId="024CF2B8" w:rsidR="008B088A" w:rsidRDefault="008B088A" w:rsidP="008B088A">
    <w:pPr>
      <w:tabs>
        <w:tab w:val="left" w:pos="5860"/>
      </w:tabs>
      <w:spacing w:line="480" w:lineRule="auto"/>
      <w:ind w:left="101" w:right="1129"/>
      <w:rPr>
        <w:b/>
        <w:bCs/>
        <w:color w:val="3E3E3E"/>
        <w:spacing w:val="-1"/>
        <w:w w:val="99"/>
        <w:sz w:val="20"/>
        <w:szCs w:val="20"/>
      </w:rPr>
    </w:pPr>
    <w:r>
      <w:rPr>
        <w:b/>
        <w:bCs/>
        <w:color w:val="3E3E3E"/>
        <w:spacing w:val="5"/>
        <w:sz w:val="20"/>
        <w:szCs w:val="20"/>
      </w:rPr>
      <w:t>T</w:t>
    </w:r>
    <w:r>
      <w:rPr>
        <w:b/>
        <w:bCs/>
        <w:color w:val="3E3E3E"/>
        <w:spacing w:val="-8"/>
        <w:sz w:val="20"/>
        <w:szCs w:val="20"/>
      </w:rPr>
      <w:t>A</w:t>
    </w:r>
    <w:r>
      <w:rPr>
        <w:b/>
        <w:bCs/>
        <w:color w:val="3E3E3E"/>
        <w:sz w:val="20"/>
        <w:szCs w:val="20"/>
      </w:rPr>
      <w:t>B:</w:t>
    </w:r>
    <w:r>
      <w:rPr>
        <w:b/>
        <w:bCs/>
        <w:color w:val="3E3E3E"/>
        <w:spacing w:val="4"/>
        <w:sz w:val="20"/>
        <w:szCs w:val="20"/>
      </w:rPr>
      <w:t xml:space="preserve"> </w:t>
    </w:r>
    <w:r>
      <w:rPr>
        <w:b/>
        <w:bCs/>
        <w:color w:val="3E3E3E"/>
        <w:spacing w:val="-6"/>
        <w:sz w:val="20"/>
        <w:szCs w:val="20"/>
      </w:rPr>
      <w:t xml:space="preserve">Collections                                                                </w:t>
    </w:r>
    <w:r>
      <w:rPr>
        <w:b/>
        <w:bCs/>
        <w:color w:val="3E3E3E"/>
        <w:sz w:val="20"/>
        <w:szCs w:val="20"/>
      </w:rPr>
      <w:t>D</w:t>
    </w:r>
    <w:r>
      <w:rPr>
        <w:b/>
        <w:bCs/>
        <w:color w:val="3E3E3E"/>
        <w:spacing w:val="1"/>
        <w:sz w:val="20"/>
        <w:szCs w:val="20"/>
      </w:rPr>
      <w:t>O</w:t>
    </w:r>
    <w:r>
      <w:rPr>
        <w:b/>
        <w:bCs/>
        <w:color w:val="3E3E3E"/>
        <w:sz w:val="20"/>
        <w:szCs w:val="20"/>
      </w:rPr>
      <w:t>CU</w:t>
    </w:r>
    <w:r>
      <w:rPr>
        <w:b/>
        <w:bCs/>
        <w:color w:val="3E3E3E"/>
        <w:spacing w:val="4"/>
        <w:sz w:val="20"/>
        <w:szCs w:val="20"/>
      </w:rPr>
      <w:t>M</w:t>
    </w:r>
    <w:r>
      <w:rPr>
        <w:b/>
        <w:bCs/>
        <w:color w:val="3E3E3E"/>
        <w:spacing w:val="-1"/>
        <w:sz w:val="20"/>
        <w:szCs w:val="20"/>
      </w:rPr>
      <w:t>E</w:t>
    </w:r>
    <w:r>
      <w:rPr>
        <w:b/>
        <w:bCs/>
        <w:color w:val="3E3E3E"/>
        <w:spacing w:val="-3"/>
        <w:sz w:val="20"/>
        <w:szCs w:val="20"/>
      </w:rPr>
      <w:t>N</w:t>
    </w:r>
    <w:r>
      <w:rPr>
        <w:b/>
        <w:bCs/>
        <w:color w:val="3E3E3E"/>
        <w:sz w:val="20"/>
        <w:szCs w:val="20"/>
      </w:rPr>
      <w:t>T</w:t>
    </w:r>
    <w:r>
      <w:rPr>
        <w:b/>
        <w:bCs/>
        <w:color w:val="3E3E3E"/>
        <w:spacing w:val="-12"/>
        <w:sz w:val="20"/>
        <w:szCs w:val="20"/>
      </w:rPr>
      <w:t xml:space="preserve"> </w:t>
    </w:r>
    <w:r>
      <w:rPr>
        <w:b/>
        <w:bCs/>
        <w:color w:val="3E3E3E"/>
        <w:sz w:val="20"/>
        <w:szCs w:val="20"/>
      </w:rPr>
      <w:t>N</w:t>
    </w:r>
    <w:r>
      <w:rPr>
        <w:b/>
        <w:bCs/>
        <w:color w:val="3E3E3E"/>
        <w:spacing w:val="-3"/>
        <w:sz w:val="20"/>
        <w:szCs w:val="20"/>
      </w:rPr>
      <w:t>U</w:t>
    </w:r>
    <w:r>
      <w:rPr>
        <w:b/>
        <w:bCs/>
        <w:color w:val="3E3E3E"/>
        <w:spacing w:val="4"/>
        <w:sz w:val="20"/>
        <w:szCs w:val="20"/>
      </w:rPr>
      <w:t>M</w:t>
    </w:r>
    <w:r>
      <w:rPr>
        <w:b/>
        <w:bCs/>
        <w:color w:val="3E3E3E"/>
        <w:sz w:val="20"/>
        <w:szCs w:val="20"/>
      </w:rPr>
      <w:t>B</w:t>
    </w:r>
    <w:r>
      <w:rPr>
        <w:b/>
        <w:bCs/>
        <w:color w:val="3E3E3E"/>
        <w:spacing w:val="-1"/>
        <w:sz w:val="20"/>
        <w:szCs w:val="20"/>
      </w:rPr>
      <w:t>E</w:t>
    </w:r>
    <w:r>
      <w:rPr>
        <w:b/>
        <w:bCs/>
        <w:color w:val="3E3E3E"/>
        <w:sz w:val="20"/>
        <w:szCs w:val="20"/>
      </w:rPr>
      <w:t>R:</w:t>
    </w:r>
    <w:r>
      <w:rPr>
        <w:b/>
        <w:bCs/>
        <w:color w:val="3E3E3E"/>
        <w:spacing w:val="-15"/>
        <w:sz w:val="20"/>
        <w:szCs w:val="20"/>
      </w:rPr>
      <w:t xml:space="preserve"> </w:t>
    </w:r>
    <w:r>
      <w:rPr>
        <w:b/>
        <w:bCs/>
        <w:color w:val="3E3E3E"/>
        <w:spacing w:val="-1"/>
        <w:sz w:val="20"/>
        <w:szCs w:val="20"/>
      </w:rPr>
      <w:t>30-20-50</w:t>
    </w:r>
    <w:r>
      <w:rPr>
        <w:b/>
        <w:bCs/>
        <w:color w:val="3E3E3E"/>
        <w:spacing w:val="-1"/>
        <w:w w:val="99"/>
        <w:sz w:val="20"/>
        <w:szCs w:val="20"/>
      </w:rPr>
      <w:t xml:space="preserve"> </w:t>
    </w:r>
  </w:p>
  <w:p w14:paraId="7BA8B0A0" w14:textId="54C6D780" w:rsidR="008B088A" w:rsidRDefault="008B088A" w:rsidP="008B088A">
    <w:pPr>
      <w:tabs>
        <w:tab w:val="left" w:pos="5860"/>
      </w:tabs>
      <w:spacing w:line="480" w:lineRule="auto"/>
      <w:ind w:right="1129"/>
      <w:rPr>
        <w:b/>
        <w:bCs/>
        <w:color w:val="3E3E3E"/>
        <w:sz w:val="20"/>
        <w:szCs w:val="20"/>
      </w:rPr>
    </w:pPr>
    <w:r>
      <w:rPr>
        <w:b/>
        <w:bCs/>
        <w:color w:val="3E3E3E"/>
        <w:sz w:val="20"/>
        <w:szCs w:val="20"/>
      </w:rPr>
      <w:t xml:space="preserve">  </w:t>
    </w:r>
    <w:r>
      <w:rPr>
        <w:b/>
        <w:bCs/>
        <w:color w:val="3E3E3E"/>
        <w:spacing w:val="-1"/>
        <w:sz w:val="20"/>
        <w:szCs w:val="20"/>
      </w:rPr>
      <w:t>SE</w:t>
    </w:r>
    <w:r>
      <w:rPr>
        <w:b/>
        <w:bCs/>
        <w:color w:val="3E3E3E"/>
        <w:sz w:val="20"/>
        <w:szCs w:val="20"/>
      </w:rPr>
      <w:t>C</w:t>
    </w:r>
    <w:r>
      <w:rPr>
        <w:b/>
        <w:bCs/>
        <w:color w:val="3E3E3E"/>
        <w:spacing w:val="3"/>
        <w:sz w:val="20"/>
        <w:szCs w:val="20"/>
      </w:rPr>
      <w:t>T</w:t>
    </w:r>
    <w:r>
      <w:rPr>
        <w:b/>
        <w:bCs/>
        <w:color w:val="3E3E3E"/>
        <w:spacing w:val="-1"/>
        <w:sz w:val="20"/>
        <w:szCs w:val="20"/>
      </w:rPr>
      <w:t>I</w:t>
    </w:r>
    <w:r>
      <w:rPr>
        <w:b/>
        <w:bCs/>
        <w:color w:val="3E3E3E"/>
        <w:spacing w:val="1"/>
        <w:sz w:val="20"/>
        <w:szCs w:val="20"/>
      </w:rPr>
      <w:t>O</w:t>
    </w:r>
    <w:r>
      <w:rPr>
        <w:b/>
        <w:bCs/>
        <w:color w:val="3E3E3E"/>
        <w:sz w:val="20"/>
        <w:szCs w:val="20"/>
      </w:rPr>
      <w:t>N:</w:t>
    </w:r>
    <w:r>
      <w:rPr>
        <w:b/>
        <w:bCs/>
        <w:color w:val="3E3E3E"/>
        <w:spacing w:val="-18"/>
        <w:sz w:val="20"/>
        <w:szCs w:val="20"/>
      </w:rPr>
      <w:t xml:space="preserve"> Library </w:t>
    </w:r>
    <w:r>
      <w:rPr>
        <w:b/>
        <w:bCs/>
        <w:color w:val="3E3E3E"/>
        <w:spacing w:val="-6"/>
        <w:sz w:val="20"/>
        <w:szCs w:val="20"/>
      </w:rPr>
      <w:t xml:space="preserve">Collections </w:t>
    </w:r>
  </w:p>
  <w:p w14:paraId="118CD1D4" w14:textId="5876D71C" w:rsidR="008B088A" w:rsidRDefault="008B088A" w:rsidP="008B088A">
    <w:pPr>
      <w:ind w:left="101"/>
      <w:rPr>
        <w:sz w:val="20"/>
        <w:szCs w:val="20"/>
      </w:rPr>
    </w:pPr>
    <w:r>
      <w:rPr>
        <w:rFonts w:asciiTheme="minorHAnsi" w:eastAsiaTheme="minorEastAsia" w:hAnsiTheme="minorHAnsi" w:cstheme="minorBidi"/>
        <w:noProof/>
      </w:rPr>
      <mc:AlternateContent>
        <mc:Choice Requires="wpg">
          <w:drawing>
            <wp:anchor distT="0" distB="0" distL="114300" distR="114300" simplePos="0" relativeHeight="503314336" behindDoc="1" locked="0" layoutInCell="1" allowOverlap="1" wp14:anchorId="57F528BB" wp14:editId="21E8703C">
              <wp:simplePos x="0" y="0"/>
              <wp:positionH relativeFrom="page">
                <wp:posOffset>977900</wp:posOffset>
              </wp:positionH>
              <wp:positionV relativeFrom="paragraph">
                <wp:posOffset>259080</wp:posOffset>
              </wp:positionV>
              <wp:extent cx="6048375" cy="127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048375" cy="1270"/>
                        <a:chOff x="0" y="0"/>
                        <a:chExt cx="9525" cy="2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"/>
                        </a:xfrm>
                        <a:custGeom>
                          <a:avLst/>
                          <a:gdLst>
                            <a:gd name="T0" fmla="+- 0 1540 1540"/>
                            <a:gd name="T1" fmla="*/ T0 w 9525"/>
                            <a:gd name="T2" fmla="+- 0 11065 1540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C70ED" id="Group 11" o:spid="_x0000_s1026" style="position:absolute;margin-left:77pt;margin-top:20.4pt;width:476.25pt;height:.1pt;z-index:-2144;mso-position-horizontal-relative:page" coordsize="9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">
              <v:shape id="Freeform 2" o:spid="_x0000_s1027" style="position:absolute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" path="m,l9525,e" filled="f">
                <v:path arrowok="t" o:connecttype="custom" o:connectlocs="0,0;9525,0" o:connectangles="0,0"/>
              </v:shape>
              <w10:wrap anchorx="page"/>
            </v:group>
          </w:pict>
        </mc:Fallback>
      </mc:AlternateContent>
    </w:r>
    <w:r>
      <w:rPr>
        <w:b/>
        <w:bCs/>
        <w:color w:val="3E3E3E"/>
        <w:spacing w:val="-1"/>
        <w:sz w:val="20"/>
        <w:szCs w:val="20"/>
      </w:rPr>
      <w:t>S</w:t>
    </w:r>
    <w:r>
      <w:rPr>
        <w:b/>
        <w:bCs/>
        <w:color w:val="3E3E3E"/>
        <w:sz w:val="20"/>
        <w:szCs w:val="20"/>
      </w:rPr>
      <w:t>UB</w:t>
    </w:r>
    <w:r>
      <w:rPr>
        <w:b/>
        <w:bCs/>
        <w:color w:val="3E3E3E"/>
        <w:spacing w:val="2"/>
        <w:sz w:val="20"/>
        <w:szCs w:val="20"/>
      </w:rPr>
      <w:t>J</w:t>
    </w:r>
    <w:r>
      <w:rPr>
        <w:b/>
        <w:bCs/>
        <w:color w:val="3E3E3E"/>
        <w:spacing w:val="-1"/>
        <w:sz w:val="20"/>
        <w:szCs w:val="20"/>
      </w:rPr>
      <w:t>E</w:t>
    </w:r>
    <w:r>
      <w:rPr>
        <w:b/>
        <w:bCs/>
        <w:color w:val="3E3E3E"/>
        <w:sz w:val="20"/>
        <w:szCs w:val="20"/>
      </w:rPr>
      <w:t>C</w:t>
    </w:r>
    <w:r>
      <w:rPr>
        <w:b/>
        <w:bCs/>
        <w:color w:val="3E3E3E"/>
        <w:spacing w:val="3"/>
        <w:sz w:val="20"/>
        <w:szCs w:val="20"/>
      </w:rPr>
      <w:t>T</w:t>
    </w:r>
    <w:r>
      <w:rPr>
        <w:b/>
        <w:bCs/>
        <w:color w:val="3E3E3E"/>
        <w:sz w:val="20"/>
        <w:szCs w:val="20"/>
      </w:rPr>
      <w:t>:</w:t>
    </w:r>
    <w:r>
      <w:rPr>
        <w:b/>
        <w:bCs/>
        <w:color w:val="3E3E3E"/>
        <w:spacing w:val="-11"/>
        <w:sz w:val="20"/>
        <w:szCs w:val="20"/>
      </w:rPr>
      <w:t xml:space="preserve"> </w:t>
    </w:r>
    <w:r>
      <w:rPr>
        <w:b/>
        <w:bCs/>
        <w:color w:val="3E3E3E"/>
        <w:spacing w:val="3"/>
        <w:sz w:val="20"/>
        <w:szCs w:val="20"/>
      </w:rPr>
      <w:t>GIFTS</w:t>
    </w:r>
  </w:p>
  <w:p w14:paraId="12270096" w14:textId="77777777" w:rsidR="008B088A" w:rsidRDefault="008B0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57"/>
    <w:rsid w:val="000C2357"/>
    <w:rsid w:val="00231AFC"/>
    <w:rsid w:val="004A7A77"/>
    <w:rsid w:val="004C4A17"/>
    <w:rsid w:val="00634968"/>
    <w:rsid w:val="0067255E"/>
    <w:rsid w:val="007C7A08"/>
    <w:rsid w:val="008B088A"/>
    <w:rsid w:val="00931EAA"/>
    <w:rsid w:val="00AC3631"/>
    <w:rsid w:val="00CE7821"/>
    <w:rsid w:val="00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DF7955"/>
  <w15:docId w15:val="{3618711B-8975-494C-8CCE-BD1D6D7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B088A"/>
    <w:pPr>
      <w:autoSpaceDE/>
      <w:autoSpaceDN/>
      <w:ind w:left="100"/>
      <w:outlineLvl w:val="0"/>
    </w:pPr>
    <w:rPr>
      <w:rFonts w:cstheme="minorBid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EC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733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33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7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5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5E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B088A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County Library</dc:creator>
  <cp:lastModifiedBy>Kangethe, Patricia, JCL</cp:lastModifiedBy>
  <cp:revision>7</cp:revision>
  <dcterms:created xsi:type="dcterms:W3CDTF">2021-09-24T15:59:00Z</dcterms:created>
  <dcterms:modified xsi:type="dcterms:W3CDTF">2021-10-21T14:48:00Z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2019-10-09T00:00:00Z</vt:filetime>
  </property>
</Properties>
</file>